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75186" w:rsidRPr="000E2314" w:rsidRDefault="00975186" w:rsidP="00DE7F35">
      <w:pPr>
        <w:adjustRightInd w:val="0"/>
        <w:snapToGrid w:val="0"/>
        <w:spacing w:after="0"/>
        <w:jc w:val="center"/>
        <w:rPr>
          <w:rFonts w:cs="Arial"/>
          <w:b/>
          <w:szCs w:val="20"/>
        </w:rPr>
      </w:pPr>
      <w:r w:rsidRPr="000E2314">
        <w:rPr>
          <w:rFonts w:cs="Arial"/>
          <w:b/>
          <w:szCs w:val="20"/>
        </w:rPr>
        <w:t>Phụ lục XII</w:t>
      </w:r>
    </w:p>
    <w:p w:rsidR="00975186" w:rsidRPr="000E2314" w:rsidRDefault="00975186" w:rsidP="00DE7F35">
      <w:pPr>
        <w:adjustRightInd w:val="0"/>
        <w:snapToGrid w:val="0"/>
        <w:spacing w:after="0"/>
        <w:jc w:val="center"/>
        <w:rPr>
          <w:rFonts w:cs="Arial"/>
          <w:szCs w:val="20"/>
        </w:rPr>
      </w:pPr>
      <w:r w:rsidRPr="000E2314">
        <w:rPr>
          <w:rFonts w:cs="Arial"/>
          <w:b/>
          <w:szCs w:val="20"/>
        </w:rPr>
        <w:t xml:space="preserve">CÁC TIÊU CHÍ THANH LÝ CHẤT THẢI PHÓNG XẠ, </w:t>
      </w:r>
      <w:r w:rsidRPr="000E2314">
        <w:rPr>
          <w:rFonts w:cs="Arial"/>
          <w:b/>
          <w:szCs w:val="20"/>
        </w:rPr>
        <w:br/>
        <w:t>NGUỒN PHÓNG XẠ ĐÃ QUA SỬ DỤNG</w:t>
      </w:r>
    </w:p>
    <w:p w:rsidR="00975186" w:rsidRPr="000E2314" w:rsidRDefault="00975186" w:rsidP="00DE7F35">
      <w:pPr>
        <w:adjustRightInd w:val="0"/>
        <w:snapToGrid w:val="0"/>
        <w:spacing w:after="0"/>
        <w:jc w:val="center"/>
        <w:rPr>
          <w:rFonts w:cs="Arial"/>
          <w:szCs w:val="20"/>
        </w:rPr>
      </w:pPr>
      <w:r w:rsidRPr="000E2314">
        <w:rPr>
          <w:rFonts w:cs="Arial"/>
          <w:i/>
          <w:szCs w:val="20"/>
        </w:rPr>
        <w:t>(Kèm theo nghị định số 332/2025/NĐ-CP</w:t>
      </w:r>
      <w:r w:rsidRPr="000E2314">
        <w:rPr>
          <w:rFonts w:cs="Arial"/>
          <w:i/>
          <w:szCs w:val="20"/>
        </w:rPr>
        <w:br/>
      </w:r>
      <w:r>
        <w:rPr>
          <w:rFonts w:cs="Arial"/>
          <w:i/>
          <w:szCs w:val="20"/>
        </w:rPr>
        <w:t>ngày 18 tháng 12 năm 2025</w:t>
      </w:r>
      <w:r w:rsidRPr="000E2314">
        <w:rPr>
          <w:rFonts w:cs="Arial"/>
          <w:i/>
          <w:szCs w:val="20"/>
        </w:rPr>
        <w:t xml:space="preserve"> của Chính phủ)</w:t>
      </w:r>
    </w:p>
    <w:p w:rsidR="00975186" w:rsidRPr="000E2314" w:rsidRDefault="00975186" w:rsidP="00DE7F35">
      <w:pPr>
        <w:adjustRightInd w:val="0"/>
        <w:snapToGrid w:val="0"/>
        <w:spacing w:after="0"/>
        <w:jc w:val="center"/>
        <w:rPr>
          <w:rFonts w:cs="Arial"/>
          <w:szCs w:val="20"/>
        </w:rPr>
      </w:pPr>
    </w:p>
    <w:p w:rsidR="00975186" w:rsidRPr="000E2314" w:rsidRDefault="00975186" w:rsidP="00DE7F35">
      <w:pPr>
        <w:adjustRightInd w:val="0"/>
        <w:snapToGrid w:val="0"/>
        <w:ind w:firstLine="720"/>
        <w:jc w:val="both"/>
        <w:rPr>
          <w:rFonts w:cs="Arial"/>
          <w:szCs w:val="20"/>
        </w:rPr>
      </w:pPr>
      <w:r w:rsidRPr="000E2314">
        <w:rPr>
          <w:rFonts w:cs="Arial"/>
          <w:szCs w:val="20"/>
        </w:rPr>
        <w:t>Chất thải phóng xạ, nguồn phóng xạ đã qua sử dụng được thanh lý là chất thải phóng xạ, nguồn phóng xạ có giá trị nồng độ hoạt độ hoặc tổng hoạt độ của các nhân phóng xạ thấp đến mức không còn gây nguy hại bức xạ cho con người, môi trường và không phải tiếp tục quản lý như chất phóng xạ.</w:t>
      </w:r>
    </w:p>
    <w:p w:rsidR="00975186" w:rsidRPr="000E2314" w:rsidRDefault="00975186" w:rsidP="00DE7F35">
      <w:pPr>
        <w:adjustRightInd w:val="0"/>
        <w:snapToGrid w:val="0"/>
        <w:ind w:firstLine="720"/>
        <w:jc w:val="both"/>
        <w:rPr>
          <w:rFonts w:cs="Arial"/>
          <w:szCs w:val="20"/>
        </w:rPr>
      </w:pPr>
      <w:r w:rsidRPr="000E2314">
        <w:rPr>
          <w:rFonts w:cs="Arial"/>
          <w:szCs w:val="20"/>
        </w:rPr>
        <w:t>Chất thải phóng xạ, nguồn phóng xạ đã qua sử dụng được thanh lý khi đáp ứng điều kiện giá trị nồng độ hoạt độ quy định tại Bảng 1 Phụ lục này.</w:t>
      </w:r>
    </w:p>
    <w:p w:rsidR="00975186" w:rsidRPr="000E2314" w:rsidRDefault="00975186" w:rsidP="00DE7F35">
      <w:pPr>
        <w:adjustRightInd w:val="0"/>
        <w:snapToGrid w:val="0"/>
        <w:jc w:val="center"/>
        <w:rPr>
          <w:rFonts w:cs="Arial"/>
          <w:b/>
          <w:szCs w:val="20"/>
        </w:rPr>
      </w:pPr>
      <w:r w:rsidRPr="000E2314">
        <w:rPr>
          <w:rFonts w:cs="Arial"/>
          <w:b/>
          <w:szCs w:val="20"/>
        </w:rPr>
        <w:t>Bảng 1. Mức thanh lý đối với các nhân phóng xạ nhân tạo</w:t>
      </w:r>
    </w:p>
    <w:tbl>
      <w:tblPr>
        <w:tblStyle w:val="TableGrid"/>
        <w:tblW w:w="5000" w:type="pct"/>
        <w:tblLook w:val="04A0" w:firstRow="1" w:lastRow="0" w:firstColumn="1" w:lastColumn="0" w:noHBand="0" w:noVBand="1"/>
      </w:tblPr>
      <w:tblGrid>
        <w:gridCol w:w="2041"/>
        <w:gridCol w:w="2351"/>
        <w:gridCol w:w="554"/>
        <w:gridCol w:w="1935"/>
        <w:gridCol w:w="2135"/>
      </w:tblGrid>
      <w:tr w:rsidR="00975186" w:rsidRPr="000E2314" w:rsidTr="00352080">
        <w:tc>
          <w:tcPr>
            <w:tcW w:w="1132"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b/>
                <w:sz w:val="20"/>
                <w:szCs w:val="20"/>
              </w:rPr>
              <w:t>Nhân phóng xạ</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b/>
                <w:sz w:val="20"/>
                <w:szCs w:val="20"/>
              </w:rPr>
              <w:t>Nồng độ hoạt độ (Bq/g)</w:t>
            </w:r>
          </w:p>
        </w:tc>
        <w:tc>
          <w:tcPr>
            <w:tcW w:w="307" w:type="pct"/>
            <w:tcBorders>
              <w:top w:val="nil"/>
              <w:left w:val="single" w:sz="4" w:space="0" w:color="auto"/>
              <w:bottom w:val="nil"/>
              <w:right w:val="single" w:sz="4" w:space="0" w:color="auto"/>
            </w:tcBorders>
            <w:vAlign w:val="center"/>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b/>
                <w:sz w:val="20"/>
                <w:szCs w:val="20"/>
              </w:rPr>
              <w:t>Nhân phóng xạ</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b/>
                <w:sz w:val="20"/>
                <w:szCs w:val="20"/>
              </w:rPr>
              <w:t>Nồng độ hoạt độ (Bq/g)</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H-3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Co-58</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Be-7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Co-58m*</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C-14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Co-60</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F-18*</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Co-60m*</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Na-22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Co-61*</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Na-24*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Co-62m*</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Si-31*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Ni-59</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P-32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Ni-63</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P-33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Ni-65*</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S-35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Cu-64*</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Cl-36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Zn-65</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Cl-38*</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Zn-69*</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K-42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Zn-69m*</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K-43*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Ga-72*</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Ca-45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Ge-71</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Ca-47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As-73</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Sc-46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As-74*</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Sc-47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As-76*</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Sc-48</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As-77</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V-48</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Sc-75</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Cr-51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Br-82</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Mn-51*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Rb-86</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Mn-52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Sr-85</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Mn-52m*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Sr-85m*</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Mn-53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Sr-87m*</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Mn-54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Sr-89</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Mn-56*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Sr-90</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Fe-52*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b/>
                <w:sz w:val="20"/>
                <w:szCs w:val="20"/>
              </w:rPr>
            </w:pPr>
            <w:r w:rsidRPr="000E2314">
              <w:rPr>
                <w:rFonts w:ascii="Arial" w:hAnsi="Arial" w:cs="Arial"/>
                <w:sz w:val="20"/>
                <w:szCs w:val="20"/>
              </w:rPr>
              <w:t>Sr-91*</w:t>
            </w:r>
          </w:p>
        </w:tc>
        <w:tc>
          <w:tcPr>
            <w:tcW w:w="1184" w:type="pct"/>
            <w:vAlign w:val="center"/>
          </w:tcPr>
          <w:p w:rsidR="00975186" w:rsidRPr="000E2314" w:rsidRDefault="00975186" w:rsidP="00DE7F35">
            <w:pPr>
              <w:adjustRightInd w:val="0"/>
              <w:snapToGrid w:val="0"/>
              <w:spacing w:after="120"/>
              <w:jc w:val="center"/>
              <w:rPr>
                <w:rFonts w:ascii="Arial" w:hAnsi="Arial" w:cs="Arial"/>
                <w:b/>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Fe-55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Sr-92*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Fe-59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Y-90</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Co-55*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Y-91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Co-56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Y-91m*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Co-57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Y-92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Y-93*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In-111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Zr-93*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In-113m*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Zr-95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In-114m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Zr-97*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In-115m*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Nb-93m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Sn-113</w:t>
            </w:r>
            <w:r w:rsidRPr="000E2314">
              <w:rPr>
                <w:rFonts w:ascii="Arial" w:hAnsi="Arial" w:cs="Arial"/>
                <w:sz w:val="20"/>
                <w:szCs w:val="20"/>
                <w:vertAlign w:val="superscript"/>
              </w:rPr>
              <w:t>a</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Nb-94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Sn-125</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Nb-95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Sb-122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Nb-97‘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Sb-124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Nb-98’</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Sb-125</w:t>
            </w:r>
            <w:r w:rsidRPr="000E2314">
              <w:rPr>
                <w:rFonts w:ascii="Arial" w:hAnsi="Arial" w:cs="Arial"/>
                <w:sz w:val="20"/>
                <w:szCs w:val="20"/>
                <w:vertAlign w:val="superscript"/>
              </w:rPr>
              <w:t>a</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Mo-90’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Te-123m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Mo-93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Te-125m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Mo-99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Te-127</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Mo-101*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Te-127m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Tc-96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Te-129*</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Tc-96m*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Te-I29m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Tc-97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Te-131*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Tc-97m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Te-131m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Tc-99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Te-132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Tc-99m’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Te-133*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Ru-97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Te-133m*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Ru-103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Te-134*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Ru-105*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I-123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Ru-106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I-125</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Rh-103m*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I-126</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Rh-105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I-129</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Pd-103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I-130*</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Pd-109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I-131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Ag-105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I-132*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Ag-110m</w:t>
            </w:r>
            <w:r w:rsidRPr="000E2314">
              <w:rPr>
                <w:rFonts w:ascii="Arial" w:hAnsi="Arial" w:cs="Arial"/>
                <w:sz w:val="20"/>
                <w:szCs w:val="20"/>
                <w:vertAlign w:val="superscript"/>
              </w:rPr>
              <w:t>a</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I-133*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Ag-111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I-134*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Cd-109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I-135’</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Cd-115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Cs-129</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Cd-115m*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Er-171*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Tm-170</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Cs-134m*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Tm-171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Yb-175</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Lu-177</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Cs-137</w:t>
            </w:r>
            <w:r w:rsidRPr="000E2314">
              <w:rPr>
                <w:rFonts w:ascii="Arial" w:hAnsi="Arial" w:cs="Arial"/>
                <w:sz w:val="20"/>
                <w:szCs w:val="20"/>
                <w:vertAlign w:val="superscript"/>
              </w:rPr>
              <w:t>a</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Hf-181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Cs-138*</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Ta-182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Ba-131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W-181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Ba-140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W-185</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La-140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W-187</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Ce-139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Re-186</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Ce-141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Re-188*</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Ce-143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Os-185</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Ce-144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Os-191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Pr-142*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Os-191m*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Pr-143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Os-193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Nd-147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Ir-190</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Nd-149*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Ir-192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Pm-147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lr-194*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Pm-149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Pt-191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Sm-151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Pt-193m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Sm-153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Pt-197*</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Eu-152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Pt-197m*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Eu-152m*</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Au-198</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Eu-154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Au-199</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Eu-155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Hg-197</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Gd-153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Hg-197m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Gd-159*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Hg-203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Tb-160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Tl-200</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Dy-165*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Tl-201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Dy-166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n-202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Ho-166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Tl-204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Er-169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Pb-203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Bi-206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Pu-241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Bi-207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Pu-242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Po-203*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Pu-243*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Po-205*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Pu-244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Po-207*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Am-241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At-211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Am-242*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Ra-225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Am-242m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Ra-227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Am-243</w:t>
            </w:r>
            <w:r w:rsidRPr="000E2314">
              <w:rPr>
                <w:rFonts w:ascii="Arial" w:hAnsi="Arial" w:cs="Arial"/>
                <w:sz w:val="20"/>
                <w:szCs w:val="20"/>
                <w:vertAlign w:val="superscript"/>
              </w:rPr>
              <w:t>a</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Th-226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Cm-242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Th-229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Cm-243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Pa-230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Cm-244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Pa-233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Cm-245</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U-230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Cm-246</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U-231</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Cm-247</w:t>
            </w:r>
            <w:r w:rsidRPr="000E2314">
              <w:rPr>
                <w:rFonts w:ascii="Arial" w:hAnsi="Arial" w:cs="Arial"/>
                <w:sz w:val="20"/>
                <w:szCs w:val="20"/>
                <w:vertAlign w:val="superscript"/>
              </w:rPr>
              <w:t>a</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ư-232</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Cm-248</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ư-233</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Bk-249</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U-236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Cf-246</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ư-237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Cf-248</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ư-239‘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Cf-249</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U-240*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Cf-250</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Np-237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Cf-251</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Np-239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Cf-252</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Np-240*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Cf-253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Pu-234</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Cf-254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Pu-235*</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Es-253</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Pu-236</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Es-254</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Pu-237</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Es-254m</w:t>
            </w:r>
          </w:p>
        </w:tc>
        <w:tc>
          <w:tcPr>
            <w:tcW w:w="1184" w:type="pct"/>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Pu-238</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bottom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Fm-254*</w:t>
            </w:r>
          </w:p>
        </w:tc>
        <w:tc>
          <w:tcPr>
            <w:tcW w:w="1184" w:type="pct"/>
            <w:tcBorders>
              <w:bottom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10 000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Pu-239</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single" w:sz="4" w:space="0" w:color="auto"/>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left w:val="single" w:sz="4" w:space="0" w:color="auto"/>
              <w:bottom w:val="single" w:sz="4" w:space="0" w:color="auto"/>
            </w:tcBorders>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Fm-255*</w:t>
            </w:r>
          </w:p>
        </w:tc>
        <w:tc>
          <w:tcPr>
            <w:tcW w:w="1184" w:type="pct"/>
            <w:tcBorders>
              <w:bottom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100</w:t>
            </w:r>
          </w:p>
        </w:tc>
      </w:tr>
      <w:tr w:rsidR="00975186" w:rsidRPr="000E2314" w:rsidTr="00352080">
        <w:tc>
          <w:tcPr>
            <w:tcW w:w="1132" w:type="pct"/>
            <w:vAlign w:val="center"/>
          </w:tcPr>
          <w:p w:rsidR="00975186" w:rsidRPr="000E2314" w:rsidRDefault="00975186" w:rsidP="00DE7F35">
            <w:pPr>
              <w:adjustRightInd w:val="0"/>
              <w:snapToGrid w:val="0"/>
              <w:spacing w:after="120"/>
              <w:rPr>
                <w:rFonts w:ascii="Arial" w:hAnsi="Arial" w:cs="Arial"/>
                <w:sz w:val="20"/>
                <w:szCs w:val="20"/>
              </w:rPr>
            </w:pPr>
            <w:r w:rsidRPr="000E2314">
              <w:rPr>
                <w:rFonts w:ascii="Arial" w:hAnsi="Arial" w:cs="Arial"/>
                <w:sz w:val="20"/>
                <w:szCs w:val="20"/>
              </w:rPr>
              <w:t>Pu-240</w:t>
            </w:r>
          </w:p>
        </w:tc>
        <w:tc>
          <w:tcPr>
            <w:tcW w:w="1304" w:type="pct"/>
            <w:tcBorders>
              <w:right w:val="single" w:sz="4" w:space="0" w:color="auto"/>
            </w:tcBorders>
            <w:vAlign w:val="center"/>
          </w:tcPr>
          <w:p w:rsidR="00975186" w:rsidRPr="000E2314" w:rsidRDefault="00975186" w:rsidP="00DE7F35">
            <w:pPr>
              <w:adjustRightInd w:val="0"/>
              <w:snapToGrid w:val="0"/>
              <w:spacing w:after="120"/>
              <w:jc w:val="center"/>
              <w:rPr>
                <w:rFonts w:ascii="Arial" w:hAnsi="Arial" w:cs="Arial"/>
                <w:sz w:val="20"/>
                <w:szCs w:val="20"/>
              </w:rPr>
            </w:pPr>
            <w:r w:rsidRPr="000E2314">
              <w:rPr>
                <w:rFonts w:ascii="Arial" w:hAnsi="Arial" w:cs="Arial"/>
                <w:sz w:val="20"/>
                <w:szCs w:val="20"/>
              </w:rPr>
              <w:t>0,1</w:t>
            </w:r>
          </w:p>
        </w:tc>
        <w:tc>
          <w:tcPr>
            <w:tcW w:w="307" w:type="pct"/>
            <w:tcBorders>
              <w:top w:val="nil"/>
              <w:left w:val="single" w:sz="4" w:space="0" w:color="auto"/>
              <w:bottom w:val="nil"/>
              <w:right w:val="nil"/>
            </w:tcBorders>
          </w:tcPr>
          <w:p w:rsidR="00975186" w:rsidRPr="000E2314" w:rsidRDefault="00975186" w:rsidP="00DE7F35">
            <w:pPr>
              <w:adjustRightInd w:val="0"/>
              <w:snapToGrid w:val="0"/>
              <w:spacing w:after="120"/>
              <w:jc w:val="center"/>
              <w:rPr>
                <w:rFonts w:ascii="Arial" w:hAnsi="Arial" w:cs="Arial"/>
                <w:b/>
                <w:sz w:val="20"/>
                <w:szCs w:val="20"/>
              </w:rPr>
            </w:pPr>
          </w:p>
        </w:tc>
        <w:tc>
          <w:tcPr>
            <w:tcW w:w="1073" w:type="pct"/>
            <w:tcBorders>
              <w:top w:val="single" w:sz="4" w:space="0" w:color="auto"/>
              <w:left w:val="nil"/>
              <w:bottom w:val="nil"/>
              <w:right w:val="nil"/>
            </w:tcBorders>
            <w:vAlign w:val="center"/>
          </w:tcPr>
          <w:p w:rsidR="00975186" w:rsidRPr="000E2314" w:rsidRDefault="00975186" w:rsidP="00DE7F35">
            <w:pPr>
              <w:adjustRightInd w:val="0"/>
              <w:snapToGrid w:val="0"/>
              <w:spacing w:after="120"/>
              <w:rPr>
                <w:rFonts w:ascii="Arial" w:hAnsi="Arial" w:cs="Arial"/>
                <w:sz w:val="20"/>
                <w:szCs w:val="20"/>
              </w:rPr>
            </w:pPr>
          </w:p>
        </w:tc>
        <w:tc>
          <w:tcPr>
            <w:tcW w:w="1184" w:type="pct"/>
            <w:tcBorders>
              <w:top w:val="single" w:sz="4" w:space="0" w:color="auto"/>
              <w:left w:val="nil"/>
              <w:bottom w:val="nil"/>
              <w:right w:val="nil"/>
            </w:tcBorders>
            <w:vAlign w:val="center"/>
          </w:tcPr>
          <w:p w:rsidR="00975186" w:rsidRPr="000E2314" w:rsidRDefault="00975186" w:rsidP="00DE7F35">
            <w:pPr>
              <w:adjustRightInd w:val="0"/>
              <w:snapToGrid w:val="0"/>
              <w:spacing w:after="120"/>
              <w:jc w:val="center"/>
              <w:rPr>
                <w:rFonts w:ascii="Arial" w:hAnsi="Arial" w:cs="Arial"/>
                <w:sz w:val="20"/>
                <w:szCs w:val="20"/>
              </w:rPr>
            </w:pPr>
          </w:p>
        </w:tc>
      </w:tr>
    </w:tbl>
    <w:p w:rsidR="00975186" w:rsidRPr="000E2314" w:rsidRDefault="00975186" w:rsidP="00DE7F35">
      <w:pPr>
        <w:adjustRightInd w:val="0"/>
        <w:snapToGrid w:val="0"/>
        <w:ind w:firstLine="720"/>
        <w:jc w:val="both"/>
        <w:rPr>
          <w:rFonts w:cs="Arial"/>
          <w:szCs w:val="20"/>
        </w:rPr>
      </w:pPr>
      <w:r w:rsidRPr="000E2314">
        <w:rPr>
          <w:rFonts w:cs="Arial"/>
          <w:szCs w:val="20"/>
        </w:rPr>
        <w:t xml:space="preserve">Trường hợp nguồn phóng xạ chứa hỗn hợp các nhân phóng xạ, điều kiện để thanh lý nguồn phóng xạ đã qua sử dụng là tổng hoạt độ của từng hạt nhân phóng xạ nhỏ hơn độ mức thanh lý của hỗn hợp </w:t>
      </w:r>
      <w:r w:rsidRPr="000E2314">
        <w:rPr>
          <w:rFonts w:cs="Arial"/>
          <w:i/>
          <w:szCs w:val="20"/>
        </w:rPr>
        <w:t>X</w:t>
      </w:r>
      <w:r w:rsidRPr="000E2314">
        <w:rPr>
          <w:rFonts w:cs="Arial"/>
          <w:i/>
          <w:szCs w:val="20"/>
          <w:vertAlign w:val="subscript"/>
        </w:rPr>
        <w:t>m</w:t>
      </w:r>
      <w:r w:rsidRPr="000E2314">
        <w:rPr>
          <w:rFonts w:cs="Arial"/>
          <w:i/>
          <w:szCs w:val="20"/>
        </w:rPr>
        <w:t xml:space="preserve"> ,</w:t>
      </w:r>
      <w:r w:rsidRPr="000E2314">
        <w:rPr>
          <w:rFonts w:cs="Arial"/>
          <w:szCs w:val="20"/>
        </w:rPr>
        <w:t xml:space="preserve"> được xác định như sau:</w:t>
      </w:r>
    </w:p>
    <w:p w:rsidR="00975186" w:rsidRPr="000E2314" w:rsidRDefault="00975186" w:rsidP="00DE7F35">
      <w:pPr>
        <w:adjustRightInd w:val="0"/>
        <w:snapToGrid w:val="0"/>
        <w:spacing w:after="0"/>
        <w:jc w:val="center"/>
        <w:rPr>
          <w:rFonts w:cs="Arial"/>
          <w:szCs w:val="20"/>
        </w:rPr>
      </w:pPr>
      <w:r w:rsidRPr="000E2314">
        <w:rPr>
          <w:rFonts w:cs="Arial"/>
          <w:noProof/>
          <w:szCs w:val="20"/>
        </w:rPr>
        <w:drawing>
          <wp:inline distT="0" distB="0" distL="0" distR="0" wp14:anchorId="335337DE" wp14:editId="1A931A04">
            <wp:extent cx="777240" cy="522514"/>
            <wp:effectExtent l="0" t="0" r="0" b="0"/>
            <wp:docPr id="121033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337998" name=""/>
                    <pic:cNvPicPr/>
                  </pic:nvPicPr>
                  <pic:blipFill>
                    <a:blip r:embed="rId4"/>
                    <a:stretch>
                      <a:fillRect/>
                    </a:stretch>
                  </pic:blipFill>
                  <pic:spPr>
                    <a:xfrm>
                      <a:off x="0" y="0"/>
                      <a:ext cx="784206" cy="527197"/>
                    </a:xfrm>
                    <a:prstGeom prst="rect">
                      <a:avLst/>
                    </a:prstGeom>
                  </pic:spPr>
                </pic:pic>
              </a:graphicData>
            </a:graphic>
          </wp:inline>
        </w:drawing>
      </w:r>
    </w:p>
    <w:p w:rsidR="00975186" w:rsidRPr="000E2314" w:rsidRDefault="00975186" w:rsidP="00DE7F35">
      <w:pPr>
        <w:adjustRightInd w:val="0"/>
        <w:snapToGrid w:val="0"/>
        <w:ind w:firstLine="720"/>
        <w:jc w:val="both"/>
        <w:rPr>
          <w:rFonts w:cs="Arial"/>
          <w:szCs w:val="20"/>
        </w:rPr>
      </w:pPr>
      <w:r w:rsidRPr="000E2314">
        <w:rPr>
          <w:rFonts w:cs="Arial"/>
          <w:szCs w:val="20"/>
        </w:rPr>
        <w:t>Trong đó,</w:t>
      </w:r>
    </w:p>
    <w:p w:rsidR="00975186" w:rsidRPr="000E2314" w:rsidRDefault="00975186" w:rsidP="00DE7F35">
      <w:pPr>
        <w:adjustRightInd w:val="0"/>
        <w:snapToGrid w:val="0"/>
        <w:ind w:firstLine="720"/>
        <w:jc w:val="both"/>
        <w:rPr>
          <w:rFonts w:cs="Arial"/>
          <w:szCs w:val="20"/>
        </w:rPr>
      </w:pPr>
      <w:r w:rsidRPr="000E2314">
        <w:rPr>
          <w:rFonts w:cs="Arial"/>
          <w:i/>
          <w:szCs w:val="20"/>
        </w:rPr>
        <w:t>C(i)</w:t>
      </w:r>
      <w:r w:rsidRPr="000E2314">
        <w:rPr>
          <w:rFonts w:cs="Arial"/>
          <w:szCs w:val="20"/>
        </w:rPr>
        <w:t xml:space="preserve"> là hoạt độ của hạt nhân i trong hỗn hợp;</w:t>
      </w:r>
    </w:p>
    <w:p w:rsidR="00975186" w:rsidRPr="000E2314" w:rsidRDefault="00975186" w:rsidP="00DE7F35">
      <w:pPr>
        <w:adjustRightInd w:val="0"/>
        <w:snapToGrid w:val="0"/>
        <w:ind w:firstLine="720"/>
        <w:jc w:val="both"/>
        <w:rPr>
          <w:rFonts w:cs="Arial"/>
          <w:szCs w:val="20"/>
        </w:rPr>
      </w:pPr>
      <w:r w:rsidRPr="000E2314">
        <w:rPr>
          <w:rFonts w:cs="Arial"/>
          <w:i/>
          <w:szCs w:val="20"/>
        </w:rPr>
        <w:t>X(i)</w:t>
      </w:r>
      <w:r w:rsidRPr="000E2314">
        <w:rPr>
          <w:rFonts w:cs="Arial"/>
          <w:szCs w:val="20"/>
        </w:rPr>
        <w:t xml:space="preserve"> là mức thanh lý đối với hạt nhân i (nêu tại Bảng 1); </w:t>
      </w:r>
    </w:p>
    <w:p w:rsidR="00975186" w:rsidRPr="000E2314" w:rsidRDefault="00975186" w:rsidP="00DE7F35">
      <w:pPr>
        <w:adjustRightInd w:val="0"/>
        <w:snapToGrid w:val="0"/>
        <w:ind w:firstLine="720"/>
        <w:jc w:val="both"/>
        <w:rPr>
          <w:rFonts w:cs="Arial"/>
          <w:szCs w:val="20"/>
        </w:rPr>
      </w:pPr>
      <w:r w:rsidRPr="000E2314">
        <w:rPr>
          <w:rFonts w:cs="Arial"/>
          <w:i/>
          <w:szCs w:val="20"/>
        </w:rPr>
        <w:t>n</w:t>
      </w:r>
      <w:r w:rsidRPr="000E2314">
        <w:rPr>
          <w:rFonts w:cs="Arial"/>
          <w:szCs w:val="20"/>
        </w:rPr>
        <w:t xml:space="preserve"> là số hạt nhân trong hỗn hợp.</w:t>
      </w:r>
    </w:p>
    <w:p w:rsidR="00975186" w:rsidRPr="000E2314" w:rsidRDefault="00975186" w:rsidP="00DE7F35">
      <w:pPr>
        <w:adjustRightInd w:val="0"/>
        <w:snapToGrid w:val="0"/>
        <w:ind w:firstLine="720"/>
        <w:jc w:val="both"/>
        <w:rPr>
          <w:rFonts w:cs="Arial"/>
          <w:szCs w:val="20"/>
        </w:rPr>
      </w:pPr>
    </w:p>
    <w:p w:rsidR="00975186" w:rsidRPr="000E2314" w:rsidRDefault="00975186" w:rsidP="00DE7F35">
      <w:pPr>
        <w:adjustRightInd w:val="0"/>
        <w:snapToGrid w:val="0"/>
        <w:ind w:firstLine="720"/>
        <w:jc w:val="both"/>
        <w:rPr>
          <w:rFonts w:cs="Arial"/>
          <w:szCs w:val="20"/>
        </w:rPr>
      </w:pPr>
      <w:r w:rsidRPr="000E2314">
        <w:rPr>
          <w:rFonts w:cs="Arial"/>
          <w:szCs w:val="20"/>
        </w:rPr>
        <w:t>*</w:t>
      </w:r>
      <w:r w:rsidRPr="000E2314">
        <w:rPr>
          <w:rFonts w:cs="Arial"/>
          <w:szCs w:val="20"/>
          <w:vertAlign w:val="superscript"/>
        </w:rPr>
        <w:t xml:space="preserve"> </w:t>
      </w:r>
      <w:r w:rsidRPr="000E2314">
        <w:rPr>
          <w:rFonts w:cs="Arial"/>
          <w:szCs w:val="20"/>
        </w:rPr>
        <w:t>Chu kỳ bán rã nhỏ hơn 01 ngày.</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186"/>
    <w:rsid w:val="001427D6"/>
    <w:rsid w:val="00225B67"/>
    <w:rsid w:val="003E1C24"/>
    <w:rsid w:val="00556DE7"/>
    <w:rsid w:val="00975186"/>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C1414-6C14-4987-9F13-6839970A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51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751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7518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7518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518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7518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7518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7518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7518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1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51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518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7518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7518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7518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518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518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518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51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51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18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518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51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75186"/>
    <w:rPr>
      <w:i/>
      <w:iCs/>
      <w:color w:val="404040" w:themeColor="text1" w:themeTint="BF"/>
    </w:rPr>
  </w:style>
  <w:style w:type="paragraph" w:styleId="ListParagraph">
    <w:name w:val="List Paragraph"/>
    <w:basedOn w:val="Normal"/>
    <w:uiPriority w:val="34"/>
    <w:qFormat/>
    <w:rsid w:val="00975186"/>
    <w:pPr>
      <w:ind w:left="720"/>
      <w:contextualSpacing/>
    </w:pPr>
  </w:style>
  <w:style w:type="character" w:styleId="IntenseEmphasis">
    <w:name w:val="Intense Emphasis"/>
    <w:basedOn w:val="DefaultParagraphFont"/>
    <w:uiPriority w:val="21"/>
    <w:qFormat/>
    <w:rsid w:val="00975186"/>
    <w:rPr>
      <w:i/>
      <w:iCs/>
      <w:color w:val="2F5496" w:themeColor="accent1" w:themeShade="BF"/>
    </w:rPr>
  </w:style>
  <w:style w:type="paragraph" w:styleId="IntenseQuote">
    <w:name w:val="Intense Quote"/>
    <w:basedOn w:val="Normal"/>
    <w:next w:val="Normal"/>
    <w:link w:val="IntenseQuoteChar"/>
    <w:uiPriority w:val="30"/>
    <w:qFormat/>
    <w:rsid w:val="009751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5186"/>
    <w:rPr>
      <w:i/>
      <w:iCs/>
      <w:color w:val="2F5496" w:themeColor="accent1" w:themeShade="BF"/>
    </w:rPr>
  </w:style>
  <w:style w:type="character" w:styleId="IntenseReference">
    <w:name w:val="Intense Reference"/>
    <w:basedOn w:val="DefaultParagraphFont"/>
    <w:uiPriority w:val="32"/>
    <w:qFormat/>
    <w:rsid w:val="00975186"/>
    <w:rPr>
      <w:b/>
      <w:bCs/>
      <w:smallCaps/>
      <w:color w:val="2F5496" w:themeColor="accent1" w:themeShade="BF"/>
      <w:spacing w:val="5"/>
    </w:rPr>
  </w:style>
  <w:style w:type="table" w:styleId="TableGrid">
    <w:name w:val="Table Grid"/>
    <w:basedOn w:val="TableNormal"/>
    <w:uiPriority w:val="39"/>
    <w:rsid w:val="00975186"/>
    <w:pPr>
      <w:spacing w:after="0"/>
    </w:pPr>
    <w:rPr>
      <w:rFonts w:asciiTheme="minorHAnsi" w:eastAsiaTheme="minorEastAsia" w:hAnsiTheme="minorHAns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614</Words>
  <Characters>3500</Characters>
  <Application>Microsoft Office Word</Application>
  <DocSecurity>0</DocSecurity>
  <Lines>29</Lines>
  <Paragraphs>8</Paragraphs>
  <ScaleCrop>false</ScaleCrop>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2025-12-29T03:57:00Z</dcterms:created>
  <dcterms:modified xsi:type="dcterms:W3CDTF">2025-12-29T03:57:00Z</dcterms:modified>
</cp:coreProperties>
</file>